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b/>
          <w:bCs/>
          <w:sz w:val="32"/>
          <w:szCs w:val="40"/>
          <w:lang w:val="en-US" w:eastAsia="zh-CN"/>
        </w:rPr>
      </w:pPr>
      <w:r>
        <w:rPr>
          <w:rFonts w:hint="eastAsia"/>
          <w:b/>
          <w:bCs/>
          <w:sz w:val="32"/>
          <w:szCs w:val="40"/>
          <w:lang w:eastAsia="zh-CN"/>
        </w:rPr>
        <w:t>庐山市退役军人事务局</w:t>
      </w:r>
      <w:r>
        <w:rPr>
          <w:rFonts w:hint="eastAsia"/>
          <w:b/>
          <w:bCs/>
          <w:sz w:val="32"/>
          <w:szCs w:val="40"/>
          <w:lang w:val="en-US" w:eastAsia="zh-CN"/>
        </w:rPr>
        <w:t>2020年部份退役士兵社保</w:t>
      </w:r>
    </w:p>
    <w:p>
      <w:pPr>
        <w:jc w:val="center"/>
        <w:rPr>
          <w:rFonts w:hint="eastAsia"/>
          <w:b/>
          <w:bCs/>
          <w:sz w:val="32"/>
          <w:szCs w:val="40"/>
          <w:lang w:val="en-US" w:eastAsia="zh-CN"/>
        </w:rPr>
      </w:pPr>
      <w:r>
        <w:rPr>
          <w:rFonts w:hint="eastAsia"/>
          <w:b/>
          <w:bCs/>
          <w:sz w:val="32"/>
          <w:szCs w:val="40"/>
          <w:lang w:val="en-US" w:eastAsia="zh-CN"/>
        </w:rPr>
        <w:t>接续地方财政配套资金项目支出绩效评价报告</w:t>
      </w: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highlight w:val="none"/>
        </w:rPr>
      </w:pPr>
      <w:r>
        <w:rPr>
          <w:rFonts w:hint="eastAsia" w:ascii="新宋体" w:hAnsi="新宋体" w:eastAsia="新宋体" w:cs="新宋体"/>
          <w:b/>
          <w:bCs/>
          <w:sz w:val="28"/>
          <w:szCs w:val="36"/>
          <w:highlight w:val="none"/>
        </w:rPr>
        <w:t>赣星顺达</w:t>
      </w:r>
      <w:r>
        <w:rPr>
          <w:rFonts w:hint="eastAsia" w:ascii="新宋体" w:hAnsi="新宋体" w:eastAsia="新宋体" w:cs="新宋体"/>
          <w:b/>
          <w:bCs/>
          <w:sz w:val="28"/>
          <w:szCs w:val="36"/>
          <w:highlight w:val="none"/>
          <w:lang w:val="en-US" w:eastAsia="zh-CN"/>
        </w:rPr>
        <w:t>绩评</w:t>
      </w:r>
      <w:r>
        <w:rPr>
          <w:rFonts w:hint="eastAsia" w:ascii="新宋体" w:hAnsi="新宋体" w:eastAsia="新宋体" w:cs="新宋体"/>
          <w:b/>
          <w:bCs/>
          <w:sz w:val="28"/>
          <w:szCs w:val="36"/>
          <w:highlight w:val="none"/>
        </w:rPr>
        <w:t>字[20</w:t>
      </w:r>
      <w:r>
        <w:rPr>
          <w:rFonts w:hint="eastAsia" w:ascii="新宋体" w:hAnsi="新宋体" w:eastAsia="新宋体" w:cs="新宋体"/>
          <w:b/>
          <w:bCs/>
          <w:sz w:val="28"/>
          <w:szCs w:val="36"/>
          <w:highlight w:val="none"/>
          <w:lang w:val="en-US" w:eastAsia="zh-CN"/>
        </w:rPr>
        <w:t>21</w:t>
      </w:r>
      <w:r>
        <w:rPr>
          <w:rFonts w:hint="eastAsia" w:ascii="新宋体" w:hAnsi="新宋体" w:eastAsia="新宋体" w:cs="新宋体"/>
          <w:b/>
          <w:bCs/>
          <w:sz w:val="28"/>
          <w:szCs w:val="36"/>
          <w:highlight w:val="none"/>
        </w:rPr>
        <w:t>]第</w:t>
      </w:r>
      <w:r>
        <w:rPr>
          <w:rFonts w:hint="eastAsia" w:ascii="新宋体" w:hAnsi="新宋体" w:eastAsia="新宋体" w:cs="新宋体"/>
          <w:b/>
          <w:bCs/>
          <w:sz w:val="28"/>
          <w:szCs w:val="36"/>
          <w:highlight w:val="none"/>
          <w:lang w:val="en-US" w:eastAsia="zh-CN"/>
        </w:rPr>
        <w:t>002</w:t>
      </w:r>
      <w:r>
        <w:rPr>
          <w:rFonts w:hint="eastAsia" w:ascii="新宋体" w:hAnsi="新宋体" w:eastAsia="新宋体" w:cs="新宋体"/>
          <w:b/>
          <w:bCs/>
          <w:sz w:val="28"/>
          <w:szCs w:val="36"/>
          <w:highlight w:val="none"/>
        </w:rPr>
        <w:t>号</w:t>
      </w: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36"/>
          <w:szCs w:val="36"/>
          <w:highlight w:val="none"/>
        </w:rPr>
      </w:pPr>
      <w:r>
        <w:rPr>
          <w:rFonts w:hint="eastAsia" w:ascii="新宋体" w:hAnsi="新宋体" w:eastAsia="新宋体" w:cs="新宋体"/>
          <w:b/>
          <w:bCs/>
          <w:sz w:val="36"/>
          <w:szCs w:val="36"/>
          <w:highlight w:val="none"/>
        </w:rPr>
        <w:t>星子顺达联合会计师事务所</w:t>
      </w:r>
    </w:p>
    <w:p>
      <w:pPr>
        <w:jc w:val="center"/>
        <w:rPr>
          <w:rFonts w:hint="eastAsia" w:ascii="新宋体" w:hAnsi="新宋体" w:eastAsia="新宋体" w:cs="新宋体"/>
          <w:b/>
          <w:bCs/>
          <w:sz w:val="36"/>
          <w:szCs w:val="36"/>
          <w:highlight w:val="none"/>
          <w:lang w:val="en-US" w:eastAsia="zh-CN"/>
        </w:rPr>
      </w:pPr>
      <w:r>
        <w:rPr>
          <w:rFonts w:hint="eastAsia" w:ascii="新宋体" w:hAnsi="新宋体" w:eastAsia="新宋体" w:cs="新宋体"/>
          <w:b/>
          <w:bCs/>
          <w:sz w:val="36"/>
          <w:szCs w:val="36"/>
          <w:highlight w:val="none"/>
          <w:lang w:val="en-US" w:eastAsia="zh-CN"/>
        </w:rPr>
        <w:t>2021年1月13日</w:t>
      </w:r>
    </w:p>
    <w:p>
      <w:pPr>
        <w:jc w:val="center"/>
        <w:rPr>
          <w:rFonts w:hint="eastAsia" w:ascii="新宋体" w:hAnsi="新宋体" w:eastAsia="新宋体" w:cs="新宋体"/>
          <w:b/>
          <w:bCs/>
          <w:sz w:val="36"/>
          <w:szCs w:val="36"/>
          <w:highlight w:val="none"/>
          <w:lang w:val="en-US" w:eastAsia="zh-CN"/>
        </w:rPr>
      </w:pPr>
    </w:p>
    <w:p>
      <w:pPr>
        <w:jc w:val="center"/>
        <w:rPr>
          <w:rFonts w:hint="eastAsia" w:ascii="新宋体" w:hAnsi="新宋体" w:eastAsia="新宋体" w:cs="新宋体"/>
          <w:b/>
          <w:bCs/>
          <w:sz w:val="36"/>
          <w:szCs w:val="36"/>
          <w:highlight w:val="none"/>
          <w:lang w:val="en-US" w:eastAsia="zh-CN"/>
        </w:rPr>
      </w:pPr>
    </w:p>
    <w:p>
      <w:pPr>
        <w:jc w:val="center"/>
        <w:rPr>
          <w:rFonts w:hint="eastAsia" w:ascii="新宋体" w:hAnsi="新宋体" w:eastAsia="新宋体" w:cs="新宋体"/>
          <w:b/>
          <w:bCs/>
          <w:sz w:val="36"/>
          <w:szCs w:val="36"/>
          <w:highlight w:val="none"/>
          <w:lang w:val="en-US" w:eastAsia="zh-CN"/>
        </w:rPr>
      </w:pPr>
    </w:p>
    <w:p>
      <w:pPr>
        <w:jc w:val="left"/>
        <w:rPr>
          <w:rFonts w:hint="eastAsia" w:ascii="新宋体" w:hAnsi="新宋体" w:eastAsia="新宋体" w:cs="新宋体"/>
          <w:b/>
          <w:bCs/>
          <w:sz w:val="36"/>
          <w:szCs w:val="36"/>
          <w:highlight w:val="none"/>
          <w:lang w:val="en-US" w:eastAsia="zh-CN"/>
        </w:rPr>
      </w:pPr>
    </w:p>
    <w:p>
      <w:pPr>
        <w:jc w:val="left"/>
        <w:rPr>
          <w:rFonts w:hint="eastAsia" w:ascii="新宋体" w:hAnsi="新宋体" w:eastAsia="新宋体" w:cs="新宋体"/>
          <w:b/>
          <w:bCs/>
          <w:sz w:val="36"/>
          <w:szCs w:val="36"/>
          <w:highlight w:val="none"/>
          <w:lang w:val="en-US" w:eastAsia="zh-CN"/>
        </w:rPr>
      </w:pPr>
    </w:p>
    <w:p>
      <w:pPr>
        <w:jc w:val="center"/>
        <w:rPr>
          <w:rFonts w:hint="eastAsia"/>
          <w:b/>
          <w:bCs/>
          <w:sz w:val="32"/>
          <w:szCs w:val="40"/>
          <w:u w:val="single"/>
          <w:lang w:val="en-US" w:eastAsia="zh-CN"/>
        </w:rPr>
      </w:pPr>
      <w:r>
        <w:rPr>
          <w:rFonts w:hint="eastAsia" w:ascii="新宋体" w:hAnsi="新宋体" w:eastAsia="新宋体" w:cs="新宋体"/>
          <w:b/>
          <w:bCs/>
          <w:sz w:val="36"/>
          <w:szCs w:val="36"/>
          <w:highlight w:val="none"/>
          <w:lang w:val="en-US" w:eastAsia="zh-CN"/>
        </w:rPr>
        <w:t>绩效评价对象：</w:t>
      </w:r>
      <w:r>
        <w:rPr>
          <w:rFonts w:hint="eastAsia"/>
          <w:b/>
          <w:bCs/>
          <w:sz w:val="32"/>
          <w:szCs w:val="40"/>
          <w:u w:val="single"/>
          <w:lang w:eastAsia="zh-CN"/>
        </w:rPr>
        <w:t>庐山市退役军人事务局</w:t>
      </w:r>
      <w:r>
        <w:rPr>
          <w:rFonts w:hint="eastAsia"/>
          <w:b/>
          <w:bCs/>
          <w:sz w:val="32"/>
          <w:szCs w:val="40"/>
          <w:u w:val="single"/>
          <w:lang w:val="en-US" w:eastAsia="zh-CN"/>
        </w:rPr>
        <w:t>2020年部份退役</w:t>
      </w:r>
    </w:p>
    <w:p>
      <w:pPr>
        <w:ind w:firstLine="3213" w:firstLineChars="1000"/>
        <w:jc w:val="both"/>
        <w:rPr>
          <w:rFonts w:hint="default"/>
          <w:b/>
          <w:bCs/>
          <w:sz w:val="32"/>
          <w:szCs w:val="40"/>
          <w:lang w:val="en-US" w:eastAsia="zh-CN"/>
        </w:rPr>
      </w:pPr>
      <w:r>
        <w:rPr>
          <w:rFonts w:hint="eastAsia"/>
          <w:b/>
          <w:bCs/>
          <w:sz w:val="32"/>
          <w:szCs w:val="40"/>
          <w:u w:val="single"/>
          <w:lang w:val="en-US" w:eastAsia="zh-CN"/>
        </w:rPr>
        <w:t>士兵社保接续财政配套资金</w:t>
      </w:r>
    </w:p>
    <w:p>
      <w:pPr>
        <w:jc w:val="left"/>
        <w:rPr>
          <w:rFonts w:hint="eastAsia" w:ascii="新宋体" w:hAnsi="新宋体" w:eastAsia="新宋体" w:cs="新宋体"/>
          <w:b/>
          <w:bCs/>
          <w:sz w:val="36"/>
          <w:szCs w:val="36"/>
          <w:highlight w:val="none"/>
          <w:u w:val="none"/>
          <w:lang w:val="en-US" w:eastAsia="zh-CN"/>
        </w:rPr>
      </w:pPr>
    </w:p>
    <w:p>
      <w:pPr>
        <w:jc w:val="left"/>
        <w:rPr>
          <w:rFonts w:hint="eastAsia" w:ascii="新宋体" w:hAnsi="新宋体" w:eastAsia="新宋体" w:cs="新宋体"/>
          <w:b/>
          <w:bCs/>
          <w:sz w:val="36"/>
          <w:szCs w:val="36"/>
          <w:highlight w:val="none"/>
          <w:u w:val="none"/>
          <w:lang w:val="en-US" w:eastAsia="zh-CN"/>
        </w:rPr>
      </w:pPr>
    </w:p>
    <w:p>
      <w:pPr>
        <w:jc w:val="left"/>
        <w:rPr>
          <w:rFonts w:hint="default" w:ascii="新宋体" w:hAnsi="新宋体" w:eastAsia="新宋体" w:cs="新宋体"/>
          <w:b/>
          <w:bCs/>
          <w:sz w:val="36"/>
          <w:szCs w:val="36"/>
          <w:highlight w:val="none"/>
          <w:u w:val="single"/>
          <w:lang w:val="en-US" w:eastAsia="zh-CN"/>
        </w:rPr>
      </w:pPr>
      <w:r>
        <w:rPr>
          <w:rFonts w:hint="eastAsia" w:ascii="新宋体" w:hAnsi="新宋体" w:eastAsia="新宋体" w:cs="新宋体"/>
          <w:b/>
          <w:bCs/>
          <w:sz w:val="36"/>
          <w:szCs w:val="36"/>
          <w:highlight w:val="none"/>
          <w:u w:val="none"/>
          <w:lang w:val="en-US" w:eastAsia="zh-CN"/>
        </w:rPr>
        <w:t>评价年度：</w:t>
      </w:r>
      <w:r>
        <w:rPr>
          <w:rFonts w:hint="eastAsia" w:ascii="新宋体" w:hAnsi="新宋体" w:eastAsia="新宋体" w:cs="新宋体"/>
          <w:b/>
          <w:bCs/>
          <w:sz w:val="36"/>
          <w:szCs w:val="36"/>
          <w:highlight w:val="none"/>
          <w:u w:val="single"/>
          <w:lang w:val="en-US" w:eastAsia="zh-CN"/>
        </w:rPr>
        <w:t xml:space="preserve">   2020年项目支出   </w:t>
      </w:r>
    </w:p>
    <w:p>
      <w:pPr>
        <w:jc w:val="left"/>
        <w:rPr>
          <w:rFonts w:hint="eastAsia" w:ascii="新宋体" w:hAnsi="新宋体" w:eastAsia="新宋体" w:cs="新宋体"/>
          <w:b/>
          <w:bCs/>
          <w:sz w:val="36"/>
          <w:szCs w:val="36"/>
          <w:highlight w:val="none"/>
          <w:u w:val="single"/>
          <w:lang w:val="en-US" w:eastAsia="zh-CN"/>
        </w:rPr>
      </w:pPr>
    </w:p>
    <w:p>
      <w:pPr>
        <w:jc w:val="left"/>
        <w:rPr>
          <w:rFonts w:hint="eastAsia" w:ascii="新宋体" w:hAnsi="新宋体" w:eastAsia="新宋体" w:cs="新宋体"/>
          <w:b/>
          <w:bCs/>
          <w:sz w:val="36"/>
          <w:szCs w:val="36"/>
          <w:highlight w:val="none"/>
          <w:u w:val="none"/>
          <w:lang w:val="en-US" w:eastAsia="zh-CN"/>
        </w:rPr>
      </w:pPr>
    </w:p>
    <w:p>
      <w:pPr>
        <w:jc w:val="left"/>
        <w:rPr>
          <w:rFonts w:hint="default" w:ascii="新宋体" w:hAnsi="新宋体" w:eastAsia="新宋体" w:cs="新宋体"/>
          <w:b/>
          <w:bCs/>
          <w:sz w:val="36"/>
          <w:szCs w:val="36"/>
          <w:highlight w:val="none"/>
          <w:u w:val="single"/>
          <w:lang w:val="en-US" w:eastAsia="zh-CN"/>
        </w:rPr>
      </w:pPr>
      <w:r>
        <w:rPr>
          <w:rFonts w:hint="eastAsia" w:ascii="新宋体" w:hAnsi="新宋体" w:eastAsia="新宋体" w:cs="新宋体"/>
          <w:b/>
          <w:bCs/>
          <w:sz w:val="36"/>
          <w:szCs w:val="36"/>
          <w:highlight w:val="none"/>
          <w:u w:val="none"/>
          <w:lang w:val="en-US" w:eastAsia="zh-CN"/>
        </w:rPr>
        <w:t>评价分值及等级：</w:t>
      </w:r>
      <w:r>
        <w:rPr>
          <w:rFonts w:hint="eastAsia" w:ascii="新宋体" w:hAnsi="新宋体" w:eastAsia="新宋体" w:cs="新宋体"/>
          <w:b/>
          <w:bCs/>
          <w:sz w:val="36"/>
          <w:szCs w:val="36"/>
          <w:highlight w:val="none"/>
          <w:u w:val="single"/>
          <w:lang w:val="en-US" w:eastAsia="zh-CN"/>
        </w:rPr>
        <w:t xml:space="preserve">  分值80.7分 等级“良”</w:t>
      </w:r>
    </w:p>
    <w:p>
      <w:pPr>
        <w:jc w:val="left"/>
        <w:rPr>
          <w:rFonts w:hint="eastAsia" w:ascii="新宋体" w:hAnsi="新宋体" w:eastAsia="新宋体" w:cs="新宋体"/>
          <w:b/>
          <w:bCs/>
          <w:sz w:val="36"/>
          <w:szCs w:val="36"/>
          <w:highlight w:val="none"/>
          <w:u w:val="single"/>
          <w:lang w:val="en-US" w:eastAsia="zh-CN"/>
        </w:rPr>
      </w:pPr>
    </w:p>
    <w:p>
      <w:pPr>
        <w:jc w:val="both"/>
        <w:rPr>
          <w:rFonts w:hint="eastAsia" w:ascii="新宋体" w:hAnsi="新宋体" w:eastAsia="新宋体" w:cs="新宋体"/>
          <w:b/>
          <w:bCs/>
          <w:sz w:val="36"/>
          <w:szCs w:val="36"/>
          <w:highlight w:val="none"/>
          <w:u w:val="none"/>
          <w:lang w:val="en-US" w:eastAsia="zh-CN"/>
        </w:rPr>
      </w:pPr>
    </w:p>
    <w:p>
      <w:pPr>
        <w:jc w:val="both"/>
        <w:rPr>
          <w:rFonts w:hint="eastAsia" w:ascii="新宋体" w:hAnsi="新宋体" w:eastAsia="新宋体" w:cs="新宋体"/>
          <w:b/>
          <w:bCs/>
          <w:sz w:val="36"/>
          <w:szCs w:val="36"/>
          <w:highlight w:val="none"/>
        </w:rPr>
      </w:pPr>
      <w:r>
        <w:rPr>
          <w:rFonts w:hint="eastAsia" w:ascii="新宋体" w:hAnsi="新宋体" w:eastAsia="新宋体" w:cs="新宋体"/>
          <w:b/>
          <w:bCs/>
          <w:sz w:val="36"/>
          <w:szCs w:val="36"/>
          <w:highlight w:val="none"/>
          <w:u w:val="none"/>
          <w:lang w:val="en-US" w:eastAsia="zh-CN"/>
        </w:rPr>
        <w:t>评价单位（公章）：</w:t>
      </w:r>
      <w:r>
        <w:rPr>
          <w:rFonts w:hint="eastAsia" w:ascii="新宋体" w:hAnsi="新宋体" w:eastAsia="新宋体" w:cs="新宋体"/>
          <w:b/>
          <w:bCs/>
          <w:sz w:val="36"/>
          <w:szCs w:val="36"/>
          <w:highlight w:val="none"/>
          <w:u w:val="single"/>
        </w:rPr>
        <w:t>星子顺达联合会计师事务所</w:t>
      </w:r>
    </w:p>
    <w:p>
      <w:pPr>
        <w:jc w:val="left"/>
        <w:rPr>
          <w:rFonts w:hint="default" w:ascii="新宋体" w:hAnsi="新宋体" w:eastAsia="新宋体" w:cs="新宋体"/>
          <w:b/>
          <w:bCs/>
          <w:sz w:val="36"/>
          <w:szCs w:val="36"/>
          <w:highlight w:val="none"/>
          <w:u w:val="single"/>
          <w:lang w:val="en-US" w:eastAsia="zh-CN"/>
        </w:rPr>
      </w:pPr>
    </w:p>
    <w:p>
      <w:pPr>
        <w:jc w:val="center"/>
        <w:rPr>
          <w:rFonts w:hint="eastAsia"/>
          <w:sz w:val="32"/>
          <w:szCs w:val="40"/>
          <w:lang w:eastAsia="zh-CN"/>
        </w:rPr>
      </w:pPr>
    </w:p>
    <w:p>
      <w:pPr>
        <w:jc w:val="center"/>
        <w:rPr>
          <w:rFonts w:hint="eastAsia"/>
          <w:sz w:val="32"/>
          <w:szCs w:val="40"/>
          <w:lang w:eastAsia="zh-CN"/>
        </w:rPr>
      </w:pPr>
    </w:p>
    <w:p>
      <w:pPr>
        <w:jc w:val="center"/>
        <w:rPr>
          <w:rFonts w:hint="eastAsia"/>
          <w:sz w:val="32"/>
          <w:szCs w:val="40"/>
          <w:lang w:eastAsia="zh-CN"/>
        </w:rPr>
      </w:pPr>
    </w:p>
    <w:p>
      <w:pPr>
        <w:jc w:val="center"/>
        <w:rPr>
          <w:rFonts w:hint="eastAsia"/>
          <w:sz w:val="32"/>
          <w:szCs w:val="40"/>
          <w:lang w:eastAsia="zh-CN"/>
        </w:rPr>
      </w:pPr>
    </w:p>
    <w:p>
      <w:pPr>
        <w:jc w:val="center"/>
        <w:rPr>
          <w:rFonts w:hint="eastAsia"/>
          <w:sz w:val="32"/>
          <w:szCs w:val="40"/>
          <w:lang w:eastAsia="zh-CN"/>
        </w:rPr>
      </w:pPr>
    </w:p>
    <w:p>
      <w:pPr>
        <w:jc w:val="both"/>
        <w:rPr>
          <w:rFonts w:hint="eastAsia"/>
          <w:sz w:val="32"/>
          <w:szCs w:val="40"/>
          <w:lang w:eastAsia="zh-CN"/>
        </w:rPr>
      </w:pPr>
    </w:p>
    <w:p>
      <w:pPr>
        <w:jc w:val="both"/>
        <w:rPr>
          <w:rFonts w:hint="eastAsia"/>
          <w:sz w:val="32"/>
          <w:szCs w:val="40"/>
          <w:lang w:eastAsia="zh-CN"/>
        </w:rPr>
      </w:pPr>
    </w:p>
    <w:p>
      <w:pPr>
        <w:jc w:val="both"/>
        <w:rPr>
          <w:rFonts w:hint="eastAsia"/>
          <w:sz w:val="32"/>
          <w:szCs w:val="40"/>
          <w:lang w:eastAsia="zh-CN"/>
        </w:rPr>
      </w:pPr>
    </w:p>
    <w:p>
      <w:pPr>
        <w:jc w:val="center"/>
        <w:rPr>
          <w:rFonts w:hint="eastAsia"/>
          <w:sz w:val="32"/>
          <w:szCs w:val="40"/>
          <w:lang w:val="en-US" w:eastAsia="zh-CN"/>
        </w:rPr>
      </w:pPr>
      <w:r>
        <w:rPr>
          <w:rFonts w:hint="eastAsia"/>
          <w:sz w:val="32"/>
          <w:szCs w:val="40"/>
          <w:lang w:eastAsia="zh-CN"/>
        </w:rPr>
        <w:t>庐山市退役军人事务局</w:t>
      </w:r>
      <w:r>
        <w:rPr>
          <w:rFonts w:hint="eastAsia"/>
          <w:sz w:val="32"/>
          <w:szCs w:val="40"/>
          <w:lang w:val="en-US" w:eastAsia="zh-CN"/>
        </w:rPr>
        <w:t>2020年部份退役士兵社保</w:t>
      </w:r>
    </w:p>
    <w:p>
      <w:pPr>
        <w:jc w:val="center"/>
        <w:rPr>
          <w:rFonts w:hint="eastAsia"/>
          <w:sz w:val="32"/>
          <w:szCs w:val="40"/>
          <w:lang w:val="en-US" w:eastAsia="zh-CN"/>
        </w:rPr>
      </w:pPr>
      <w:r>
        <w:rPr>
          <w:rFonts w:hint="eastAsia"/>
          <w:sz w:val="32"/>
          <w:szCs w:val="40"/>
          <w:lang w:val="en-US" w:eastAsia="zh-CN"/>
        </w:rPr>
        <w:t>接续地方财政配套资金项目支出绩效评价报告</w:t>
      </w:r>
    </w:p>
    <w:p>
      <w:pPr>
        <w:jc w:val="center"/>
        <w:rPr>
          <w:rFonts w:hint="eastAsia" w:ascii="新宋体" w:hAnsi="新宋体" w:eastAsia="新宋体" w:cs="新宋体"/>
          <w:sz w:val="32"/>
          <w:szCs w:val="40"/>
          <w:lang w:val="en-US" w:eastAsia="zh-CN"/>
        </w:rPr>
      </w:pPr>
      <w:r>
        <w:rPr>
          <w:rFonts w:hint="eastAsia" w:ascii="宋体" w:hAnsi="宋体" w:eastAsia="宋体" w:cs="宋体"/>
          <w:b/>
          <w:bCs/>
          <w:sz w:val="28"/>
          <w:szCs w:val="36"/>
          <w:highlight w:val="none"/>
        </w:rPr>
        <w:t>赣星顺达</w:t>
      </w:r>
      <w:r>
        <w:rPr>
          <w:rFonts w:hint="eastAsia" w:ascii="宋体" w:hAnsi="宋体" w:eastAsia="宋体" w:cs="宋体"/>
          <w:b/>
          <w:bCs/>
          <w:sz w:val="28"/>
          <w:szCs w:val="36"/>
          <w:highlight w:val="none"/>
          <w:lang w:val="en-US" w:eastAsia="zh-CN"/>
        </w:rPr>
        <w:t>绩评</w:t>
      </w:r>
      <w:r>
        <w:rPr>
          <w:rFonts w:hint="eastAsia" w:ascii="宋体" w:hAnsi="宋体" w:eastAsia="宋体" w:cs="宋体"/>
          <w:b/>
          <w:bCs/>
          <w:sz w:val="28"/>
          <w:szCs w:val="36"/>
          <w:highlight w:val="none"/>
        </w:rPr>
        <w:t>字[20</w:t>
      </w:r>
      <w:r>
        <w:rPr>
          <w:rFonts w:hint="eastAsia" w:ascii="宋体" w:hAnsi="宋体" w:eastAsia="宋体" w:cs="宋体"/>
          <w:b/>
          <w:bCs/>
          <w:sz w:val="28"/>
          <w:szCs w:val="36"/>
          <w:highlight w:val="none"/>
          <w:lang w:val="en-US" w:eastAsia="zh-CN"/>
        </w:rPr>
        <w:t>21</w:t>
      </w:r>
      <w:r>
        <w:rPr>
          <w:rFonts w:hint="eastAsia" w:ascii="宋体" w:hAnsi="宋体" w:eastAsia="宋体" w:cs="宋体"/>
          <w:b/>
          <w:bCs/>
          <w:sz w:val="28"/>
          <w:szCs w:val="36"/>
          <w:highlight w:val="none"/>
        </w:rPr>
        <w:t>]第</w:t>
      </w:r>
      <w:r>
        <w:rPr>
          <w:rFonts w:hint="eastAsia" w:ascii="宋体" w:hAnsi="宋体" w:eastAsia="宋体" w:cs="宋体"/>
          <w:b/>
          <w:bCs/>
          <w:sz w:val="28"/>
          <w:szCs w:val="36"/>
          <w:highlight w:val="none"/>
          <w:lang w:val="en-US" w:eastAsia="zh-CN"/>
        </w:rPr>
        <w:t>002</w:t>
      </w:r>
      <w:r>
        <w:rPr>
          <w:rFonts w:hint="eastAsia" w:ascii="宋体" w:hAnsi="宋体" w:eastAsia="宋体" w:cs="宋体"/>
          <w:b/>
          <w:bCs/>
          <w:sz w:val="28"/>
          <w:szCs w:val="36"/>
          <w:highlight w:val="none"/>
        </w:rPr>
        <w:t>号</w:t>
      </w:r>
    </w:p>
    <w:p>
      <w:p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32"/>
          <w:szCs w:val="40"/>
          <w:lang w:val="en-US" w:eastAsia="zh-CN"/>
        </w:rPr>
        <w:t xml:space="preserve">   </w:t>
      </w:r>
      <w:r>
        <w:rPr>
          <w:rFonts w:hint="eastAsia" w:ascii="新宋体" w:hAnsi="新宋体" w:eastAsia="新宋体" w:cs="新宋体"/>
          <w:sz w:val="24"/>
          <w:szCs w:val="32"/>
          <w:lang w:val="en-US" w:eastAsia="zh-CN"/>
        </w:rPr>
        <w:t>根据《中华人民共和国预算法》、《中共中央、国务院关于全面实施预算绩效管理的意见》（中发【2028】34号），《省委省政府关于全面实施预算绩效管理的实施意见》和《中共庐山市委庐山市人民政府印发&lt;关于全面实施预算绩效管理的实施办法&gt;的通知》（庐发【2020】12号）文件精神，庐山市财政局委托星子顺达联合会计师事务所对庐山市退役军人事务局2020年部份退役士兵社保，接续地方财政配套资金项目支出进行绩效评价，现将绩效评价情况报告如下：</w:t>
      </w:r>
    </w:p>
    <w:p>
      <w:pPr>
        <w:numPr>
          <w:ilvl w:val="0"/>
          <w:numId w:val="1"/>
        </w:numPr>
        <w:spacing w:line="360" w:lineRule="auto"/>
        <w:jc w:val="left"/>
        <w:rPr>
          <w:rFonts w:hint="eastAsia" w:ascii="新宋体" w:hAnsi="新宋体" w:eastAsia="新宋体" w:cs="新宋体"/>
          <w:b/>
          <w:bCs/>
          <w:sz w:val="24"/>
          <w:szCs w:val="32"/>
          <w:lang w:val="en-US" w:eastAsia="zh-CN"/>
        </w:rPr>
      </w:pPr>
      <w:r>
        <w:rPr>
          <w:rFonts w:hint="eastAsia" w:ascii="新宋体" w:hAnsi="新宋体" w:eastAsia="新宋体" w:cs="新宋体"/>
          <w:b/>
          <w:bCs/>
          <w:sz w:val="24"/>
          <w:szCs w:val="32"/>
          <w:lang w:val="en-US" w:eastAsia="zh-CN"/>
        </w:rPr>
        <w:t>基本情况</w:t>
      </w:r>
    </w:p>
    <w:p>
      <w:pPr>
        <w:numPr>
          <w:ilvl w:val="0"/>
          <w:numId w:val="2"/>
        </w:numPr>
        <w:spacing w:line="360" w:lineRule="auto"/>
        <w:ind w:left="12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项目概况</w:t>
      </w:r>
    </w:p>
    <w:p>
      <w:pPr>
        <w:numPr>
          <w:ilvl w:val="0"/>
          <w:numId w:val="0"/>
        </w:numPr>
        <w:spacing w:line="360" w:lineRule="auto"/>
        <w:ind w:left="12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 xml:space="preserve">  按照江西省退役军人事务厅、江西省财政厅《关于报送部份退役士兵社会保</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险问题有关情况的通知》赣退役军人字【2019】97号和江西省财政厅、江西省退役军人事务厅、江西省人力资源和社会保障厅、江西省医疗保障局、江西省民政厅、国家税务总局江西省税务局《关于解决部份退役士兵社会保险问题财政补助资金有关事项的通知》赣财社【2020】2号文件精神：</w:t>
      </w:r>
    </w:p>
    <w:p>
      <w:pPr>
        <w:numPr>
          <w:ilvl w:val="0"/>
          <w:numId w:val="3"/>
        </w:numPr>
        <w:spacing w:line="360" w:lineRule="auto"/>
        <w:ind w:left="12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退役士兵应补缴资金：单位应补缴资金+个人应补缴资金=（每月单位应补缴</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资金+每月个人应补缴资金）×补缴月数（不超过本人军龄）其中：</w:t>
      </w:r>
    </w:p>
    <w:p>
      <w:pPr>
        <w:numPr>
          <w:ilvl w:val="0"/>
          <w:numId w:val="4"/>
        </w:numPr>
        <w:spacing w:line="360" w:lineRule="auto"/>
        <w:ind w:left="24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城镇职工基本养老保险：</w:t>
      </w:r>
    </w:p>
    <w:p>
      <w:pPr>
        <w:numPr>
          <w:ilvl w:val="0"/>
          <w:numId w:val="0"/>
        </w:numPr>
        <w:spacing w:line="360" w:lineRule="auto"/>
        <w:ind w:left="24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 xml:space="preserve">  每月单位应补缴资金=2019年度全省全口径城镇单位就业人员月平均工资</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4736×60%×缴费比例16%=454.66元；</w:t>
      </w:r>
    </w:p>
    <w:p>
      <w:pPr>
        <w:numPr>
          <w:ilvl w:val="0"/>
          <w:numId w:val="0"/>
        </w:numPr>
        <w:spacing w:line="360" w:lineRule="auto"/>
        <w:ind w:left="24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 xml:space="preserve">  每月个人应缴资金=2019年度全省全口径城镇单位就业人员月平均工资</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4736×60%×缴费比例8%=227.33元。</w:t>
      </w:r>
    </w:p>
    <w:p>
      <w:pPr>
        <w:numPr>
          <w:ilvl w:val="0"/>
          <w:numId w:val="4"/>
        </w:numPr>
        <w:spacing w:line="360" w:lineRule="auto"/>
        <w:ind w:left="24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城镇职工基本医疗保险：</w:t>
      </w:r>
    </w:p>
    <w:p>
      <w:pPr>
        <w:numPr>
          <w:ilvl w:val="0"/>
          <w:numId w:val="0"/>
        </w:numPr>
        <w:spacing w:line="360" w:lineRule="auto"/>
        <w:ind w:left="24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 xml:space="preserve">  每月单位应补缴资金=补缴时上年度各社区市全口径城镇单位就业人员月平</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均工资×60%×参保地单位缴费比例</w:t>
      </w:r>
    </w:p>
    <w:p>
      <w:pPr>
        <w:numPr>
          <w:ilvl w:val="0"/>
          <w:numId w:val="0"/>
        </w:numPr>
        <w:spacing w:line="360" w:lineRule="auto"/>
        <w:ind w:left="24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 xml:space="preserve">  每月个人应补缴资金=补缴时上年度各社区全口径城镇单位就业人员月平均</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工资×60%×参保地个人缴费比例</w:t>
      </w:r>
    </w:p>
    <w:p>
      <w:pPr>
        <w:numPr>
          <w:ilvl w:val="0"/>
          <w:numId w:val="3"/>
        </w:numPr>
        <w:spacing w:line="360" w:lineRule="auto"/>
        <w:ind w:left="12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财政负担补助资金</w:t>
      </w:r>
    </w:p>
    <w:p>
      <w:pPr>
        <w:numPr>
          <w:ilvl w:val="0"/>
          <w:numId w:val="5"/>
        </w:numPr>
        <w:spacing w:line="360" w:lineRule="auto"/>
        <w:ind w:left="24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退役士兵补缴基本养老保险单位缴费部份所需政府补助资金，中央、省、</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县（市、区）财政分别按40%、10%、50%比例负担；</w:t>
      </w:r>
    </w:p>
    <w:p>
      <w:pPr>
        <w:numPr>
          <w:ilvl w:val="0"/>
          <w:numId w:val="5"/>
        </w:numPr>
        <w:spacing w:line="360" w:lineRule="auto"/>
        <w:ind w:left="24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退役士兵补缴基本医疗保险单位缴费部份所需政府补助资金，由同级财</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政全额负担，按退役士兵安置单位区分中央、省、县、（市、区）；</w:t>
      </w:r>
    </w:p>
    <w:p>
      <w:pPr>
        <w:numPr>
          <w:ilvl w:val="0"/>
          <w:numId w:val="5"/>
        </w:numPr>
        <w:spacing w:line="360" w:lineRule="auto"/>
        <w:ind w:left="24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退役士兵个人属于最低生活保障对象，特困人员的，补缴基本养老保</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险和基本医疗保险个人缴费部份由同级财政全额负担。</w:t>
      </w:r>
    </w:p>
    <w:p>
      <w:pPr>
        <w:numPr>
          <w:ilvl w:val="0"/>
          <w:numId w:val="2"/>
        </w:numPr>
        <w:spacing w:line="360" w:lineRule="auto"/>
        <w:ind w:left="12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项目绩效目标</w:t>
      </w:r>
    </w:p>
    <w:p>
      <w:pPr>
        <w:numPr>
          <w:ilvl w:val="0"/>
          <w:numId w:val="0"/>
        </w:numPr>
        <w:spacing w:line="360" w:lineRule="auto"/>
        <w:ind w:left="12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 xml:space="preserve">   2020年5月21日，庐山市退役军人事务局向市人民政府《关于请求解决部</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份退役士兵社保接续地方财政配套资金的报告》需要我市财政配套解决此次社保接续资金共2260567.45元，其中：1、原星子县退役士兵需配套单位部份缴费资金1985953.15元（总资金3971906.30元×50%）；2、原星子县退役士兵需配套低保对象个人部份缴费274614.30元；3、总人数为260人。</w:t>
      </w:r>
    </w:p>
    <w:p>
      <w:pPr>
        <w:numPr>
          <w:ilvl w:val="0"/>
          <w:numId w:val="0"/>
        </w:numPr>
        <w:spacing w:line="360" w:lineRule="auto"/>
        <w:ind w:left="12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（三）实施情况</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（1）截至2020年12月22日庐山市退役军人事务局共支付应由市财政配套的（原星子县）退役士兵社保接续资金2325614.56元，其中：</w:t>
      </w:r>
      <w:r>
        <w:rPr>
          <w:rFonts w:hint="eastAsia" w:ascii="微软雅黑" w:hAnsi="微软雅黑" w:eastAsia="微软雅黑" w:cs="微软雅黑"/>
          <w:sz w:val="24"/>
          <w:szCs w:val="32"/>
          <w:lang w:val="en-US" w:eastAsia="zh-CN"/>
        </w:rPr>
        <w:t>①</w:t>
      </w:r>
      <w:r>
        <w:rPr>
          <w:rFonts w:hint="eastAsia" w:ascii="新宋体" w:hAnsi="新宋体" w:eastAsia="新宋体" w:cs="新宋体"/>
          <w:sz w:val="24"/>
          <w:szCs w:val="32"/>
          <w:lang w:val="en-US" w:eastAsia="zh-CN"/>
        </w:rPr>
        <w:t>单位应缴218人养老保险资金1968049.64元；</w:t>
      </w:r>
      <w:r>
        <w:rPr>
          <w:rFonts w:hint="eastAsia" w:ascii="微软雅黑" w:hAnsi="微软雅黑" w:eastAsia="微软雅黑" w:cs="微软雅黑"/>
          <w:sz w:val="24"/>
          <w:szCs w:val="32"/>
          <w:lang w:val="en-US" w:eastAsia="zh-CN"/>
        </w:rPr>
        <w:t>②</w:t>
      </w:r>
      <w:r>
        <w:rPr>
          <w:rFonts w:hint="eastAsia" w:ascii="新宋体" w:hAnsi="新宋体" w:eastAsia="新宋体" w:cs="新宋体"/>
          <w:sz w:val="24"/>
          <w:szCs w:val="32"/>
          <w:lang w:val="en-US" w:eastAsia="zh-CN"/>
        </w:rPr>
        <w:t>单位应缴3人医疗保险资金56385.28元；</w:t>
      </w:r>
      <w:r>
        <w:rPr>
          <w:rFonts w:hint="eastAsia" w:ascii="微软雅黑" w:hAnsi="微软雅黑" w:eastAsia="微软雅黑" w:cs="微软雅黑"/>
          <w:sz w:val="24"/>
          <w:szCs w:val="32"/>
          <w:lang w:val="en-US" w:eastAsia="zh-CN"/>
        </w:rPr>
        <w:t>③</w:t>
      </w:r>
      <w:r>
        <w:rPr>
          <w:rFonts w:hint="eastAsia" w:ascii="新宋体" w:hAnsi="新宋体" w:eastAsia="新宋体" w:cs="新宋体"/>
          <w:sz w:val="24"/>
          <w:szCs w:val="32"/>
          <w:lang w:val="en-US" w:eastAsia="zh-CN"/>
        </w:rPr>
        <w:t>低保对象28人个人应缴养老保险资金301179.58元。</w:t>
      </w:r>
    </w:p>
    <w:p>
      <w:pPr>
        <w:numPr>
          <w:ilvl w:val="0"/>
          <w:numId w:val="0"/>
        </w:numPr>
        <w:spacing w:line="360" w:lineRule="auto"/>
        <w:ind w:left="24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（2）配套缴费总人数220人（不含零缴费39人），其中养老保险缴费218人、</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医疗保险缴费3人（其中一人有养老保险缴费）。</w:t>
      </w:r>
    </w:p>
    <w:p>
      <w:pPr>
        <w:numPr>
          <w:ilvl w:val="0"/>
          <w:numId w:val="1"/>
        </w:numPr>
        <w:spacing w:line="360" w:lineRule="auto"/>
        <w:ind w:left="0" w:leftChars="0" w:firstLine="0" w:firstLineChars="0"/>
        <w:jc w:val="left"/>
        <w:rPr>
          <w:rFonts w:hint="eastAsia" w:ascii="新宋体" w:hAnsi="新宋体" w:eastAsia="新宋体" w:cs="新宋体"/>
          <w:b/>
          <w:bCs/>
          <w:sz w:val="24"/>
          <w:szCs w:val="32"/>
          <w:lang w:val="en-US" w:eastAsia="zh-CN"/>
        </w:rPr>
      </w:pPr>
      <w:r>
        <w:rPr>
          <w:rFonts w:hint="eastAsia" w:ascii="新宋体" w:hAnsi="新宋体" w:eastAsia="新宋体" w:cs="新宋体"/>
          <w:b/>
          <w:bCs/>
          <w:sz w:val="24"/>
          <w:szCs w:val="32"/>
          <w:lang w:val="en-US" w:eastAsia="zh-CN"/>
        </w:rPr>
        <w:t>绩效评价工作开展情况</w:t>
      </w:r>
    </w:p>
    <w:p>
      <w:pPr>
        <w:numPr>
          <w:ilvl w:val="0"/>
          <w:numId w:val="6"/>
        </w:numPr>
        <w:spacing w:line="360" w:lineRule="auto"/>
        <w:ind w:left="12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绩效评价目的、对象和范围</w:t>
      </w:r>
    </w:p>
    <w:p>
      <w:pPr>
        <w:numPr>
          <w:ilvl w:val="0"/>
          <w:numId w:val="0"/>
        </w:numPr>
        <w:spacing w:line="360" w:lineRule="auto"/>
        <w:ind w:left="120" w:left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 xml:space="preserve"> 评价目的：通过预算安排项目，利用财政资金在一定期限内预期达到的产出和</w:t>
      </w:r>
    </w:p>
    <w:p>
      <w:pPr>
        <w:numPr>
          <w:ilvl w:val="0"/>
          <w:numId w:val="0"/>
        </w:numPr>
        <w:spacing w:line="360" w:lineRule="auto"/>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效果；评价对象和范围：对2020年度地方财政资金安排的部份退役士兵社保接续配套项目使用情况</w:t>
      </w:r>
    </w:p>
    <w:p>
      <w:pPr>
        <w:numPr>
          <w:ilvl w:val="0"/>
          <w:numId w:val="6"/>
        </w:numPr>
        <w:spacing w:line="360" w:lineRule="auto"/>
        <w:ind w:left="120" w:leftChars="0" w:firstLine="0" w:firstLineChars="0"/>
        <w:jc w:val="left"/>
        <w:rPr>
          <w:rFonts w:hint="eastAsia" w:ascii="新宋体" w:hAnsi="新宋体" w:eastAsia="新宋体" w:cs="新宋体"/>
          <w:sz w:val="24"/>
          <w:szCs w:val="32"/>
          <w:lang w:val="en-US" w:eastAsia="zh-CN"/>
        </w:rPr>
      </w:pPr>
      <w:r>
        <w:rPr>
          <w:rFonts w:hint="eastAsia" w:ascii="新宋体" w:hAnsi="新宋体" w:eastAsia="新宋体" w:cs="新宋体"/>
          <w:sz w:val="24"/>
          <w:szCs w:val="32"/>
          <w:lang w:val="en-US" w:eastAsia="zh-CN"/>
        </w:rPr>
        <w:t>绩效评价原则、评价指标体系、方法、评价标准</w:t>
      </w:r>
    </w:p>
    <w:p>
      <w:pPr>
        <w:numPr>
          <w:ilvl w:val="0"/>
          <w:numId w:val="0"/>
        </w:numPr>
        <w:spacing w:line="360" w:lineRule="auto"/>
        <w:ind w:left="120" w:leftChars="0"/>
        <w:jc w:val="left"/>
        <w:rPr>
          <w:rFonts w:hint="eastAsia" w:ascii="新宋体" w:hAnsi="新宋体" w:eastAsia="新宋体" w:cs="新宋体"/>
          <w:color w:val="FF0000"/>
          <w:sz w:val="24"/>
          <w:szCs w:val="32"/>
          <w:lang w:val="en-US" w:eastAsia="zh-CN"/>
        </w:rPr>
      </w:pPr>
      <w:r>
        <w:rPr>
          <w:rFonts w:hint="eastAsia" w:ascii="新宋体" w:hAnsi="新宋体" w:eastAsia="新宋体" w:cs="新宋体"/>
          <w:sz w:val="24"/>
          <w:szCs w:val="32"/>
          <w:lang w:val="en-US" w:eastAsia="zh-CN"/>
        </w:rPr>
        <w:t>评价原则：坚持科学公正、职责明确</w:t>
      </w:r>
      <w:r>
        <w:rPr>
          <w:rFonts w:hint="eastAsia" w:ascii="新宋体" w:hAnsi="新宋体" w:eastAsia="新宋体" w:cs="新宋体"/>
          <w:color w:val="auto"/>
          <w:sz w:val="24"/>
          <w:szCs w:val="32"/>
          <w:lang w:val="en-US" w:eastAsia="zh-CN"/>
        </w:rPr>
        <w:t>、各有侧重、相互衔接；</w:t>
      </w:r>
    </w:p>
    <w:p>
      <w:pPr>
        <w:numPr>
          <w:ilvl w:val="0"/>
          <w:numId w:val="0"/>
        </w:numPr>
        <w:spacing w:line="360" w:lineRule="auto"/>
        <w:ind w:left="120"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评价指标体系：评价指标的权重根据各项指标在评价体系中的重要程度确定，突出结果导向，对一级指标权重设置为：决策指标15%、过程指标15%、产出指标50%、效益指标20%；</w:t>
      </w:r>
    </w:p>
    <w:p>
      <w:pPr>
        <w:numPr>
          <w:ilvl w:val="0"/>
          <w:numId w:val="0"/>
        </w:numPr>
        <w:spacing w:line="360" w:lineRule="auto"/>
        <w:ind w:left="120"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评价方法：采用比较法，即将实施情况与绩效目标进行比较；</w:t>
      </w:r>
    </w:p>
    <w:p>
      <w:pPr>
        <w:numPr>
          <w:ilvl w:val="0"/>
          <w:numId w:val="0"/>
        </w:numPr>
        <w:spacing w:line="360" w:lineRule="auto"/>
        <w:ind w:left="120"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评价标准：采用计划标准，即按照文件现有的标准与指标完成情况进行比较。</w:t>
      </w:r>
    </w:p>
    <w:p>
      <w:pPr>
        <w:numPr>
          <w:ilvl w:val="0"/>
          <w:numId w:val="6"/>
        </w:numPr>
        <w:spacing w:line="360" w:lineRule="auto"/>
        <w:ind w:left="12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绩效评价工作过程</w:t>
      </w:r>
    </w:p>
    <w:p>
      <w:pPr>
        <w:numPr>
          <w:ilvl w:val="0"/>
          <w:numId w:val="7"/>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接受财政委托、明确评价的目的、对象及范围；</w:t>
      </w:r>
    </w:p>
    <w:p>
      <w:pPr>
        <w:numPr>
          <w:ilvl w:val="0"/>
          <w:numId w:val="7"/>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与评价项目的执行单位沟通、索取会计资料及相关文件；</w:t>
      </w:r>
    </w:p>
    <w:p>
      <w:pPr>
        <w:numPr>
          <w:ilvl w:val="0"/>
          <w:numId w:val="7"/>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根据被评价项目执行单位提供的资料进行核查，取得项目实施过程和结果的数据，对所取的数据按照评价的原则、方法、标准对评价指标体系进行权重计分，最后按计分情况确定评价结果级别。</w:t>
      </w:r>
    </w:p>
    <w:p>
      <w:pPr>
        <w:numPr>
          <w:ilvl w:val="0"/>
          <w:numId w:val="1"/>
        </w:numPr>
        <w:spacing w:line="360" w:lineRule="auto"/>
        <w:ind w:left="0" w:leftChars="0" w:firstLine="0" w:firstLineChars="0"/>
        <w:jc w:val="left"/>
        <w:rPr>
          <w:rFonts w:hint="eastAsia" w:ascii="新宋体" w:hAnsi="新宋体" w:eastAsia="新宋体" w:cs="新宋体"/>
          <w:b/>
          <w:bCs/>
          <w:color w:val="auto"/>
          <w:sz w:val="24"/>
          <w:szCs w:val="32"/>
          <w:lang w:val="en-US" w:eastAsia="zh-CN"/>
        </w:rPr>
      </w:pPr>
      <w:r>
        <w:rPr>
          <w:rFonts w:hint="eastAsia" w:ascii="新宋体" w:hAnsi="新宋体" w:eastAsia="新宋体" w:cs="新宋体"/>
          <w:b/>
          <w:bCs/>
          <w:color w:val="auto"/>
          <w:sz w:val="24"/>
          <w:szCs w:val="32"/>
          <w:lang w:val="en-US" w:eastAsia="zh-CN"/>
        </w:rPr>
        <w:t>综合评价情况及评价结论</w:t>
      </w:r>
    </w:p>
    <w:p>
      <w:pPr>
        <w:numPr>
          <w:ilvl w:val="0"/>
          <w:numId w:val="8"/>
        </w:numPr>
        <w:spacing w:line="360" w:lineRule="auto"/>
        <w:ind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综合评价指标分析</w:t>
      </w:r>
    </w:p>
    <w:p>
      <w:pPr>
        <w:numPr>
          <w:ilvl w:val="0"/>
          <w:numId w:val="9"/>
        </w:numPr>
        <w:spacing w:line="360" w:lineRule="auto"/>
        <w:ind w:left="12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决策指标总分值15分 其中：</w:t>
      </w:r>
    </w:p>
    <w:p>
      <w:pPr>
        <w:numPr>
          <w:ilvl w:val="0"/>
          <w:numId w:val="10"/>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项目立项：分值5分 立项依据充分，符合相关政策规定 可得5分</w:t>
      </w:r>
    </w:p>
    <w:p>
      <w:pPr>
        <w:numPr>
          <w:ilvl w:val="0"/>
          <w:numId w:val="10"/>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绩效目标：分值5分 绩效目标不够明确，配套单位应缴金额未分列养老保险与医疗保险，扣1分，可得4分</w:t>
      </w:r>
    </w:p>
    <w:p>
      <w:pPr>
        <w:numPr>
          <w:ilvl w:val="0"/>
          <w:numId w:val="10"/>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资金投入：分值5分 资金分配合理，分配依据充分 可得5分</w:t>
      </w:r>
    </w:p>
    <w:p>
      <w:pPr>
        <w:numPr>
          <w:ilvl w:val="0"/>
          <w:numId w:val="9"/>
        </w:numPr>
        <w:spacing w:line="360" w:lineRule="auto"/>
        <w:ind w:left="12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过程指标总分值15分 其中：</w:t>
      </w:r>
    </w:p>
    <w:p>
      <w:pPr>
        <w:numPr>
          <w:ilvl w:val="0"/>
          <w:numId w:val="11"/>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资金管理：分值8分 资金到位率100%，预算执行率100%，资金使用符</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合规定 可得8分；</w:t>
      </w:r>
    </w:p>
    <w:p>
      <w:pPr>
        <w:numPr>
          <w:ilvl w:val="0"/>
          <w:numId w:val="11"/>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组织实施：分值7分 项目实施符合相关管理规定，但财务核算中未明确</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设置地方财政应负担的缴费情况，扣3分 可得4分；</w:t>
      </w:r>
    </w:p>
    <w:p>
      <w:pPr>
        <w:numPr>
          <w:ilvl w:val="0"/>
          <w:numId w:val="9"/>
        </w:numPr>
        <w:spacing w:line="360" w:lineRule="auto"/>
        <w:ind w:left="12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产出指标总分值50分 其中：</w:t>
      </w:r>
    </w:p>
    <w:p>
      <w:pPr>
        <w:numPr>
          <w:ilvl w:val="0"/>
          <w:numId w:val="12"/>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产出数量：分值10分 项目预期260人，实际产出220人，实际完成率</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84.6%，扣1.5分， 可得8.5分；</w:t>
      </w:r>
    </w:p>
    <w:p>
      <w:pPr>
        <w:numPr>
          <w:ilvl w:val="0"/>
          <w:numId w:val="12"/>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 xml:space="preserve">产出质量：分值30分 </w:t>
      </w:r>
      <w:r>
        <w:rPr>
          <w:rFonts w:hint="eastAsia" w:ascii="微软雅黑" w:hAnsi="微软雅黑" w:eastAsia="微软雅黑" w:cs="微软雅黑"/>
          <w:color w:val="auto"/>
          <w:sz w:val="24"/>
          <w:szCs w:val="32"/>
          <w:lang w:val="en-US" w:eastAsia="zh-CN"/>
        </w:rPr>
        <w:t>①</w:t>
      </w:r>
      <w:r>
        <w:rPr>
          <w:rFonts w:hint="eastAsia" w:ascii="新宋体" w:hAnsi="新宋体" w:eastAsia="新宋体" w:cs="新宋体"/>
          <w:color w:val="auto"/>
          <w:sz w:val="24"/>
          <w:szCs w:val="32"/>
          <w:lang w:val="en-US" w:eastAsia="zh-CN"/>
        </w:rPr>
        <w:t>项目预期2260567.45元，实际产出2325614.50</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元，产出多65047.05元。其中项目预期低保对象29人个人养老保险地方财政应支付274614.30元，实际地方财政低保对象28人个人养老保险301179.58元，实际比预期多26565.28元，差异率分别为2.9%和9.7%，扣3.8分；</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微软雅黑" w:hAnsi="微软雅黑" w:eastAsia="微软雅黑" w:cs="微软雅黑"/>
          <w:color w:val="auto"/>
          <w:sz w:val="24"/>
          <w:szCs w:val="32"/>
          <w:lang w:val="en-US" w:eastAsia="zh-CN"/>
        </w:rPr>
        <w:t>②</w:t>
      </w:r>
      <w:r>
        <w:rPr>
          <w:rFonts w:hint="eastAsia" w:ascii="新宋体" w:hAnsi="新宋体" w:eastAsia="新宋体" w:cs="新宋体"/>
          <w:color w:val="auto"/>
          <w:sz w:val="24"/>
          <w:szCs w:val="32"/>
          <w:lang w:val="en-US" w:eastAsia="zh-CN"/>
        </w:rPr>
        <w:t>养老保险补缴金额计算不够准确，例：6月17#凭证补缴胡东方25个月少计16.75元；6月18#凭证补缴余启林146个月多计0.29元；6月21#凭证补缴彭旅溥49个月少计0.83元；</w:t>
      </w:r>
    </w:p>
    <w:p>
      <w:pPr>
        <w:numPr>
          <w:ilvl w:val="0"/>
          <w:numId w:val="0"/>
        </w:numPr>
        <w:spacing w:line="360" w:lineRule="auto"/>
        <w:jc w:val="left"/>
        <w:rPr>
          <w:rFonts w:hint="default" w:ascii="新宋体" w:hAnsi="新宋体" w:eastAsia="新宋体" w:cs="新宋体"/>
          <w:color w:val="auto"/>
          <w:sz w:val="24"/>
          <w:szCs w:val="32"/>
          <w:lang w:val="en-US" w:eastAsia="zh-CN"/>
        </w:rPr>
      </w:pPr>
      <w:r>
        <w:rPr>
          <w:rFonts w:hint="eastAsia" w:ascii="微软雅黑" w:hAnsi="微软雅黑" w:eastAsia="微软雅黑" w:cs="微软雅黑"/>
          <w:color w:val="auto"/>
          <w:sz w:val="24"/>
          <w:szCs w:val="32"/>
          <w:lang w:val="en-US" w:eastAsia="zh-CN"/>
        </w:rPr>
        <w:t>③</w:t>
      </w:r>
      <w:r>
        <w:rPr>
          <w:rFonts w:hint="eastAsia" w:ascii="新宋体" w:hAnsi="新宋体" w:eastAsia="新宋体" w:cs="新宋体"/>
          <w:color w:val="auto"/>
          <w:sz w:val="24"/>
          <w:szCs w:val="32"/>
          <w:lang w:val="en-US" w:eastAsia="zh-CN"/>
        </w:rPr>
        <w:t>补缴标准不一，2020年12月9日补缴查结华61个月计27734.26元，月均454.66元；陈军61个月计29514.24元，月均483.84元；计算差错扣10分，总计16.2分；</w:t>
      </w:r>
    </w:p>
    <w:p>
      <w:pPr>
        <w:numPr>
          <w:ilvl w:val="0"/>
          <w:numId w:val="12"/>
        </w:numPr>
        <w:spacing w:line="360" w:lineRule="auto"/>
        <w:ind w:left="240" w:leftChars="0" w:firstLine="0" w:firstLine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产出时效：分值10分 赣财社【2020】2号文件规定最迟于2021年底前</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完成部份退役士兵基本养老保险补缴工作，本次评价时间截止2020年12月22日，产出时效规定程度100%，可得10分</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4、效益指标总分值20分</w:t>
      </w:r>
    </w:p>
    <w:p>
      <w:pPr>
        <w:numPr>
          <w:ilvl w:val="0"/>
          <w:numId w:val="0"/>
        </w:numPr>
        <w:spacing w:line="360" w:lineRule="auto"/>
        <w:ind w:left="120"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（1）社会效益：分值10分 有益于社会稳定，社会关注度高，可得10分；</w:t>
      </w:r>
    </w:p>
    <w:p>
      <w:pPr>
        <w:numPr>
          <w:ilvl w:val="0"/>
          <w:numId w:val="0"/>
        </w:numPr>
        <w:spacing w:line="360" w:lineRule="auto"/>
        <w:ind w:left="120"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（2）服务对象满意度：分值10分 经调查满意度100%，可得10分；</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（二）评价结论</w:t>
      </w:r>
    </w:p>
    <w:p>
      <w:pPr>
        <w:numPr>
          <w:ilvl w:val="0"/>
          <w:numId w:val="0"/>
        </w:numPr>
        <w:spacing w:line="360" w:lineRule="auto"/>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 xml:space="preserve">  庐山市退役军人事务局2020年部份退役士兵社保接续地方财政配套资金项目支出绩效评价分值80.7分，绩效评价结果为“良</w:t>
      </w:r>
      <w:bookmarkStart w:id="0" w:name="_GoBack"/>
      <w:bookmarkEnd w:id="0"/>
      <w:r>
        <w:rPr>
          <w:rFonts w:hint="eastAsia" w:ascii="新宋体" w:hAnsi="新宋体" w:eastAsia="新宋体" w:cs="新宋体"/>
          <w:color w:val="auto"/>
          <w:sz w:val="24"/>
          <w:szCs w:val="32"/>
          <w:lang w:val="en-US" w:eastAsia="zh-CN"/>
        </w:rPr>
        <w:t>”。</w:t>
      </w:r>
    </w:p>
    <w:p>
      <w:pPr>
        <w:numPr>
          <w:ilvl w:val="0"/>
          <w:numId w:val="1"/>
        </w:numPr>
        <w:spacing w:line="360" w:lineRule="auto"/>
        <w:ind w:left="0" w:leftChars="0" w:firstLine="0" w:firstLineChars="0"/>
        <w:jc w:val="left"/>
        <w:rPr>
          <w:rFonts w:hint="eastAsia" w:ascii="新宋体" w:hAnsi="新宋体" w:eastAsia="新宋体" w:cs="新宋体"/>
          <w:b/>
          <w:bCs/>
          <w:color w:val="auto"/>
          <w:sz w:val="24"/>
          <w:szCs w:val="32"/>
          <w:lang w:val="en-US" w:eastAsia="zh-CN"/>
        </w:rPr>
      </w:pPr>
      <w:r>
        <w:rPr>
          <w:rFonts w:hint="eastAsia" w:ascii="新宋体" w:hAnsi="新宋体" w:eastAsia="新宋体" w:cs="新宋体"/>
          <w:b/>
          <w:bCs/>
          <w:color w:val="auto"/>
          <w:sz w:val="24"/>
          <w:szCs w:val="32"/>
          <w:lang w:val="en-US" w:eastAsia="zh-CN"/>
        </w:rPr>
        <w:t>存在的问题</w:t>
      </w:r>
    </w:p>
    <w:p>
      <w:pPr>
        <w:numPr>
          <w:ilvl w:val="0"/>
          <w:numId w:val="0"/>
        </w:numPr>
        <w:spacing w:line="360" w:lineRule="auto"/>
        <w:ind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 xml:space="preserve">  项目资金的支付在会计处理时只记作“行政支出”而未具体反映中央、省、地</w:t>
      </w:r>
    </w:p>
    <w:p>
      <w:pPr>
        <w:numPr>
          <w:ilvl w:val="0"/>
          <w:numId w:val="0"/>
        </w:numPr>
        <w:spacing w:line="360" w:lineRule="auto"/>
        <w:ind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方财政分别应负担的支出具体数额，和地方财政应负担部份的单位应缴养老保险金额，低保对象个人应缴的养老保险金额和单位应缴的医疗保险金额。</w:t>
      </w:r>
    </w:p>
    <w:p>
      <w:pPr>
        <w:numPr>
          <w:ilvl w:val="0"/>
          <w:numId w:val="1"/>
        </w:numPr>
        <w:spacing w:line="360" w:lineRule="auto"/>
        <w:ind w:left="0" w:leftChars="0" w:firstLine="0" w:firstLineChars="0"/>
        <w:jc w:val="left"/>
        <w:rPr>
          <w:rFonts w:hint="eastAsia" w:ascii="新宋体" w:hAnsi="新宋体" w:eastAsia="新宋体" w:cs="新宋体"/>
          <w:b/>
          <w:bCs/>
          <w:color w:val="auto"/>
          <w:sz w:val="24"/>
          <w:szCs w:val="32"/>
          <w:lang w:val="en-US" w:eastAsia="zh-CN"/>
        </w:rPr>
      </w:pPr>
      <w:r>
        <w:rPr>
          <w:rFonts w:hint="eastAsia" w:ascii="新宋体" w:hAnsi="新宋体" w:eastAsia="新宋体" w:cs="新宋体"/>
          <w:b/>
          <w:bCs/>
          <w:color w:val="auto"/>
          <w:sz w:val="24"/>
          <w:szCs w:val="32"/>
          <w:lang w:val="en-US" w:eastAsia="zh-CN"/>
        </w:rPr>
        <w:t>有关建议</w:t>
      </w:r>
    </w:p>
    <w:p>
      <w:pPr>
        <w:numPr>
          <w:ilvl w:val="0"/>
          <w:numId w:val="0"/>
        </w:numPr>
        <w:spacing w:line="360" w:lineRule="auto"/>
        <w:ind w:leftChars="0"/>
        <w:jc w:val="left"/>
        <w:rPr>
          <w:rFonts w:hint="eastAsia" w:ascii="新宋体" w:hAnsi="新宋体" w:eastAsia="新宋体" w:cs="新宋体"/>
          <w:color w:val="auto"/>
          <w:sz w:val="24"/>
          <w:szCs w:val="32"/>
          <w:lang w:val="en-US" w:eastAsia="zh-CN"/>
        </w:rPr>
      </w:pPr>
      <w:r>
        <w:rPr>
          <w:rFonts w:hint="eastAsia" w:ascii="新宋体" w:hAnsi="新宋体" w:eastAsia="新宋体" w:cs="新宋体"/>
          <w:color w:val="auto"/>
          <w:sz w:val="24"/>
          <w:szCs w:val="32"/>
          <w:lang w:val="en-US" w:eastAsia="zh-CN"/>
        </w:rPr>
        <w:t xml:space="preserve">  建议应按照《庐山市市级预算绩效目标管理办法》的通知（庐财绩【2020】3号），《庐山市市级绩效运行监控管理办法》的通知（庐财绩【2020】4号）、《庐山市市级绩效评价管理办法》的通知（庐财绩【2020】5号）和《九江市市级绩效结果应用管理办法》的通知（庐财绩【2020】6号）等文件的精神要求为深入贯彻落实《中共中央国务院关于全面实施预算绩效管理的意见》精神而尽职尽责。</w:t>
      </w:r>
    </w:p>
    <w:p>
      <w:pPr>
        <w:numPr>
          <w:ilvl w:val="0"/>
          <w:numId w:val="1"/>
        </w:numPr>
        <w:spacing w:line="360" w:lineRule="auto"/>
        <w:ind w:left="0" w:leftChars="0" w:firstLine="0" w:firstLineChars="0"/>
        <w:jc w:val="left"/>
        <w:rPr>
          <w:rFonts w:hint="eastAsia" w:ascii="新宋体" w:hAnsi="新宋体" w:eastAsia="新宋体" w:cs="新宋体"/>
          <w:b/>
          <w:bCs/>
          <w:color w:val="auto"/>
          <w:sz w:val="24"/>
          <w:szCs w:val="32"/>
          <w:lang w:val="en-US" w:eastAsia="zh-CN"/>
        </w:rPr>
      </w:pPr>
      <w:r>
        <w:rPr>
          <w:rFonts w:hint="eastAsia" w:ascii="新宋体" w:hAnsi="新宋体" w:eastAsia="新宋体" w:cs="新宋体"/>
          <w:b/>
          <w:bCs/>
          <w:color w:val="auto"/>
          <w:sz w:val="24"/>
          <w:szCs w:val="32"/>
          <w:lang w:val="en-US" w:eastAsia="zh-CN"/>
        </w:rPr>
        <w:t>其它需要说明的问题</w:t>
      </w:r>
    </w:p>
    <w:p>
      <w:pPr>
        <w:numPr>
          <w:ilvl w:val="0"/>
          <w:numId w:val="0"/>
        </w:numPr>
        <w:spacing w:line="360" w:lineRule="auto"/>
        <w:ind w:leftChars="0"/>
        <w:jc w:val="left"/>
        <w:rPr>
          <w:rFonts w:hint="eastAsia" w:ascii="新宋体" w:hAnsi="新宋体" w:eastAsia="新宋体" w:cs="新宋体"/>
          <w:b w:val="0"/>
          <w:bCs w:val="0"/>
          <w:color w:val="auto"/>
          <w:sz w:val="24"/>
          <w:szCs w:val="32"/>
          <w:lang w:val="en-US" w:eastAsia="zh-CN"/>
        </w:rPr>
      </w:pPr>
      <w:r>
        <w:rPr>
          <w:rFonts w:hint="eastAsia" w:ascii="新宋体" w:hAnsi="新宋体" w:eastAsia="新宋体" w:cs="新宋体"/>
          <w:b/>
          <w:bCs/>
          <w:color w:val="auto"/>
          <w:sz w:val="24"/>
          <w:szCs w:val="32"/>
          <w:lang w:val="en-US" w:eastAsia="zh-CN"/>
        </w:rPr>
        <w:t xml:space="preserve">  </w:t>
      </w:r>
      <w:r>
        <w:rPr>
          <w:rFonts w:hint="eastAsia" w:ascii="新宋体" w:hAnsi="新宋体" w:eastAsia="新宋体" w:cs="新宋体"/>
          <w:b w:val="0"/>
          <w:bCs w:val="0"/>
          <w:color w:val="auto"/>
          <w:sz w:val="24"/>
          <w:szCs w:val="32"/>
          <w:lang w:val="en-US" w:eastAsia="zh-CN"/>
        </w:rPr>
        <w:t>截至2020年12月22庐山市退役军人事务局共支付部份退役士兵社保接续配套资金4817659.93元，其中：</w:t>
      </w:r>
    </w:p>
    <w:p>
      <w:pPr>
        <w:numPr>
          <w:ilvl w:val="0"/>
          <w:numId w:val="13"/>
        </w:numPr>
        <w:spacing w:line="360" w:lineRule="auto"/>
        <w:ind w:left="240" w:leftChars="0" w:firstLine="0" w:firstLineChars="0"/>
        <w:jc w:val="left"/>
        <w:rPr>
          <w:rFonts w:hint="eastAsia" w:ascii="新宋体" w:hAnsi="新宋体" w:eastAsia="新宋体" w:cs="新宋体"/>
          <w:b w:val="0"/>
          <w:bCs w:val="0"/>
          <w:color w:val="auto"/>
          <w:sz w:val="24"/>
          <w:szCs w:val="32"/>
          <w:lang w:val="en-US" w:eastAsia="zh-CN"/>
        </w:rPr>
      </w:pPr>
      <w:r>
        <w:rPr>
          <w:rFonts w:hint="eastAsia" w:ascii="新宋体" w:hAnsi="新宋体" w:eastAsia="新宋体" w:cs="新宋体"/>
          <w:b w:val="0"/>
          <w:bCs w:val="0"/>
          <w:color w:val="auto"/>
          <w:sz w:val="24"/>
          <w:szCs w:val="32"/>
          <w:lang w:val="en-US" w:eastAsia="zh-CN"/>
        </w:rPr>
        <w:t>应由市财政配套资金2325614.50元：其中单位应缴的养老保险资金1968049.64元，单位应缴的医疗保险金56385.28元，低保对象个人应缴的养老保险金301179.58元；</w:t>
      </w:r>
    </w:p>
    <w:p>
      <w:pPr>
        <w:numPr>
          <w:ilvl w:val="0"/>
          <w:numId w:val="13"/>
        </w:numPr>
        <w:spacing w:line="360" w:lineRule="auto"/>
        <w:ind w:left="240" w:leftChars="0" w:firstLine="0" w:firstLineChars="0"/>
        <w:jc w:val="left"/>
        <w:rPr>
          <w:rFonts w:hint="default" w:ascii="新宋体" w:hAnsi="新宋体" w:eastAsia="新宋体" w:cs="新宋体"/>
          <w:b w:val="0"/>
          <w:bCs w:val="0"/>
          <w:color w:val="auto"/>
          <w:sz w:val="24"/>
          <w:szCs w:val="32"/>
          <w:lang w:val="en-US" w:eastAsia="zh-CN"/>
        </w:rPr>
      </w:pPr>
      <w:r>
        <w:rPr>
          <w:rFonts w:hint="eastAsia" w:ascii="新宋体" w:hAnsi="新宋体" w:eastAsia="新宋体" w:cs="新宋体"/>
          <w:b w:val="0"/>
          <w:bCs w:val="0"/>
          <w:color w:val="auto"/>
          <w:sz w:val="24"/>
          <w:szCs w:val="32"/>
          <w:lang w:val="en-US" w:eastAsia="zh-CN"/>
        </w:rPr>
        <w:t>代缴应由中央、省配套的单位应缴的养老保险金1968049.64元；</w:t>
      </w:r>
    </w:p>
    <w:p>
      <w:pPr>
        <w:numPr>
          <w:ilvl w:val="0"/>
          <w:numId w:val="13"/>
        </w:numPr>
        <w:spacing w:line="360" w:lineRule="auto"/>
        <w:ind w:left="240" w:leftChars="0" w:firstLine="0" w:firstLineChars="0"/>
        <w:jc w:val="left"/>
        <w:rPr>
          <w:rFonts w:hint="default" w:ascii="新宋体" w:hAnsi="新宋体" w:eastAsia="新宋体" w:cs="新宋体"/>
          <w:b w:val="0"/>
          <w:bCs w:val="0"/>
          <w:color w:val="auto"/>
          <w:sz w:val="24"/>
          <w:szCs w:val="32"/>
          <w:lang w:val="en-US" w:eastAsia="zh-CN"/>
        </w:rPr>
      </w:pPr>
      <w:r>
        <w:rPr>
          <w:rFonts w:hint="eastAsia" w:ascii="新宋体" w:hAnsi="新宋体" w:eastAsia="新宋体" w:cs="新宋体"/>
          <w:b w:val="0"/>
          <w:bCs w:val="0"/>
          <w:color w:val="auto"/>
          <w:sz w:val="24"/>
          <w:szCs w:val="32"/>
          <w:lang w:val="en-US" w:eastAsia="zh-CN"/>
        </w:rPr>
        <w:t>代缴庐山风景名胜管理局财政处配套的单位应缴养老保险金285299.45元；</w:t>
      </w:r>
    </w:p>
    <w:p>
      <w:pPr>
        <w:numPr>
          <w:ilvl w:val="0"/>
          <w:numId w:val="13"/>
        </w:numPr>
        <w:spacing w:line="360" w:lineRule="auto"/>
        <w:ind w:left="240" w:leftChars="0" w:firstLine="0" w:firstLineChars="0"/>
        <w:jc w:val="left"/>
        <w:rPr>
          <w:rFonts w:hint="default" w:ascii="新宋体" w:hAnsi="新宋体" w:eastAsia="新宋体" w:cs="新宋体"/>
          <w:b w:val="0"/>
          <w:bCs w:val="0"/>
          <w:color w:val="auto"/>
          <w:sz w:val="24"/>
          <w:szCs w:val="32"/>
          <w:lang w:val="en-US" w:eastAsia="zh-CN"/>
        </w:rPr>
      </w:pPr>
      <w:r>
        <w:rPr>
          <w:rFonts w:hint="eastAsia" w:ascii="新宋体" w:hAnsi="新宋体" w:eastAsia="新宋体" w:cs="新宋体"/>
          <w:b w:val="0"/>
          <w:bCs w:val="0"/>
          <w:color w:val="auto"/>
          <w:sz w:val="24"/>
          <w:szCs w:val="32"/>
          <w:lang w:val="en-US" w:eastAsia="zh-CN"/>
        </w:rPr>
        <w:t>代缴已收取在星子外地居住的27人个人应缴养老保险金238696.34元；</w:t>
      </w:r>
    </w:p>
    <w:p>
      <w:pPr>
        <w:numPr>
          <w:ilvl w:val="0"/>
          <w:numId w:val="0"/>
        </w:numPr>
        <w:spacing w:line="360" w:lineRule="auto"/>
        <w:ind w:left="240" w:leftChars="0"/>
        <w:jc w:val="left"/>
        <w:rPr>
          <w:rFonts w:hint="eastAsia" w:ascii="新宋体" w:hAnsi="新宋体" w:eastAsia="新宋体" w:cs="新宋体"/>
          <w:b w:val="0"/>
          <w:bCs w:val="0"/>
          <w:color w:val="auto"/>
          <w:sz w:val="24"/>
          <w:szCs w:val="32"/>
          <w:lang w:val="en-US" w:eastAsia="zh-CN"/>
        </w:rPr>
      </w:pPr>
      <w:r>
        <w:rPr>
          <w:rFonts w:hint="eastAsia" w:ascii="新宋体" w:hAnsi="新宋体" w:eastAsia="新宋体" w:cs="新宋体"/>
          <w:b w:val="0"/>
          <w:bCs w:val="0"/>
          <w:color w:val="auto"/>
          <w:sz w:val="24"/>
          <w:szCs w:val="32"/>
          <w:lang w:val="en-US" w:eastAsia="zh-CN"/>
        </w:rPr>
        <w:t>附：1、庐山市退役军人事务局二0二0年部份退役士兵社保接续地方财政配套资金项目绩效评价指标评分表</w:t>
      </w:r>
    </w:p>
    <w:p>
      <w:pPr>
        <w:numPr>
          <w:ilvl w:val="0"/>
          <w:numId w:val="0"/>
        </w:numPr>
        <w:spacing w:line="360" w:lineRule="auto"/>
        <w:ind w:left="240" w:leftChars="0"/>
        <w:jc w:val="left"/>
        <w:rPr>
          <w:rFonts w:hint="default" w:ascii="新宋体" w:hAnsi="新宋体" w:eastAsia="新宋体" w:cs="新宋体"/>
          <w:b w:val="0"/>
          <w:bCs w:val="0"/>
          <w:color w:val="auto"/>
          <w:sz w:val="24"/>
          <w:szCs w:val="32"/>
          <w:lang w:val="en-US" w:eastAsia="zh-CN"/>
        </w:rPr>
      </w:pPr>
      <w:r>
        <w:rPr>
          <w:rFonts w:hint="eastAsia" w:ascii="新宋体" w:hAnsi="新宋体" w:eastAsia="新宋体" w:cs="新宋体"/>
          <w:b w:val="0"/>
          <w:bCs w:val="0"/>
          <w:color w:val="auto"/>
          <w:sz w:val="24"/>
          <w:szCs w:val="32"/>
          <w:lang w:val="en-US" w:eastAsia="zh-CN"/>
        </w:rPr>
        <w:t xml:space="preserve">    2、2020年部份退役士兵社保接续人员缴费明细表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FCC87A"/>
    <w:multiLevelType w:val="singleLevel"/>
    <w:tmpl w:val="A3FCC87A"/>
    <w:lvl w:ilvl="0" w:tentative="0">
      <w:start w:val="1"/>
      <w:numFmt w:val="decimal"/>
      <w:suff w:val="nothing"/>
      <w:lvlText w:val="（%1）"/>
      <w:lvlJc w:val="left"/>
      <w:pPr>
        <w:ind w:left="240" w:leftChars="0" w:firstLine="0" w:firstLineChars="0"/>
      </w:pPr>
    </w:lvl>
  </w:abstractNum>
  <w:abstractNum w:abstractNumId="1">
    <w:nsid w:val="AEB88766"/>
    <w:multiLevelType w:val="singleLevel"/>
    <w:tmpl w:val="AEB88766"/>
    <w:lvl w:ilvl="0" w:tentative="0">
      <w:start w:val="1"/>
      <w:numFmt w:val="chineseCounting"/>
      <w:suff w:val="nothing"/>
      <w:lvlText w:val="%1、"/>
      <w:lvlJc w:val="left"/>
      <w:rPr>
        <w:rFonts w:hint="eastAsia"/>
      </w:rPr>
    </w:lvl>
  </w:abstractNum>
  <w:abstractNum w:abstractNumId="2">
    <w:nsid w:val="B4834756"/>
    <w:multiLevelType w:val="singleLevel"/>
    <w:tmpl w:val="B4834756"/>
    <w:lvl w:ilvl="0" w:tentative="0">
      <w:start w:val="1"/>
      <w:numFmt w:val="decimal"/>
      <w:suff w:val="nothing"/>
      <w:lvlText w:val="%1、"/>
      <w:lvlJc w:val="left"/>
      <w:pPr>
        <w:ind w:left="240" w:leftChars="0" w:firstLine="0" w:firstLineChars="0"/>
      </w:pPr>
    </w:lvl>
  </w:abstractNum>
  <w:abstractNum w:abstractNumId="3">
    <w:nsid w:val="B8515F7E"/>
    <w:multiLevelType w:val="singleLevel"/>
    <w:tmpl w:val="B8515F7E"/>
    <w:lvl w:ilvl="0" w:tentative="0">
      <w:start w:val="1"/>
      <w:numFmt w:val="decimal"/>
      <w:suff w:val="nothing"/>
      <w:lvlText w:val="%1、"/>
      <w:lvlJc w:val="left"/>
    </w:lvl>
  </w:abstractNum>
  <w:abstractNum w:abstractNumId="4">
    <w:nsid w:val="D6F5D253"/>
    <w:multiLevelType w:val="singleLevel"/>
    <w:tmpl w:val="D6F5D253"/>
    <w:lvl w:ilvl="0" w:tentative="0">
      <w:start w:val="1"/>
      <w:numFmt w:val="decimal"/>
      <w:suff w:val="nothing"/>
      <w:lvlText w:val="（%1）"/>
      <w:lvlJc w:val="left"/>
      <w:pPr>
        <w:ind w:left="240" w:leftChars="0" w:firstLine="0" w:firstLineChars="0"/>
      </w:pPr>
    </w:lvl>
  </w:abstractNum>
  <w:abstractNum w:abstractNumId="5">
    <w:nsid w:val="D8D08A1E"/>
    <w:multiLevelType w:val="singleLevel"/>
    <w:tmpl w:val="D8D08A1E"/>
    <w:lvl w:ilvl="0" w:tentative="0">
      <w:start w:val="1"/>
      <w:numFmt w:val="chineseCounting"/>
      <w:suff w:val="nothing"/>
      <w:lvlText w:val="（%1）"/>
      <w:lvlJc w:val="left"/>
      <w:rPr>
        <w:rFonts w:hint="eastAsia"/>
      </w:rPr>
    </w:lvl>
  </w:abstractNum>
  <w:abstractNum w:abstractNumId="6">
    <w:nsid w:val="DFAC9D6D"/>
    <w:multiLevelType w:val="singleLevel"/>
    <w:tmpl w:val="DFAC9D6D"/>
    <w:lvl w:ilvl="0" w:tentative="0">
      <w:start w:val="1"/>
      <w:numFmt w:val="chineseCounting"/>
      <w:suff w:val="nothing"/>
      <w:lvlText w:val="（%1）"/>
      <w:lvlJc w:val="left"/>
      <w:pPr>
        <w:ind w:left="120" w:leftChars="0" w:firstLine="0" w:firstLineChars="0"/>
      </w:pPr>
      <w:rPr>
        <w:rFonts w:hint="eastAsia"/>
      </w:rPr>
    </w:lvl>
  </w:abstractNum>
  <w:abstractNum w:abstractNumId="7">
    <w:nsid w:val="FE700C28"/>
    <w:multiLevelType w:val="singleLevel"/>
    <w:tmpl w:val="FE700C28"/>
    <w:lvl w:ilvl="0" w:tentative="0">
      <w:start w:val="1"/>
      <w:numFmt w:val="decimal"/>
      <w:suff w:val="nothing"/>
      <w:lvlText w:val="（%1）"/>
      <w:lvlJc w:val="left"/>
      <w:pPr>
        <w:ind w:left="240" w:leftChars="0" w:firstLine="0" w:firstLineChars="0"/>
      </w:pPr>
    </w:lvl>
  </w:abstractNum>
  <w:abstractNum w:abstractNumId="8">
    <w:nsid w:val="07D0A5A9"/>
    <w:multiLevelType w:val="singleLevel"/>
    <w:tmpl w:val="07D0A5A9"/>
    <w:lvl w:ilvl="0" w:tentative="0">
      <w:start w:val="1"/>
      <w:numFmt w:val="decimal"/>
      <w:suff w:val="nothing"/>
      <w:lvlText w:val="（%1）"/>
      <w:lvlJc w:val="left"/>
      <w:pPr>
        <w:ind w:left="240" w:leftChars="0" w:firstLine="0" w:firstLineChars="0"/>
      </w:pPr>
    </w:lvl>
  </w:abstractNum>
  <w:abstractNum w:abstractNumId="9">
    <w:nsid w:val="15341207"/>
    <w:multiLevelType w:val="singleLevel"/>
    <w:tmpl w:val="15341207"/>
    <w:lvl w:ilvl="0" w:tentative="0">
      <w:start w:val="1"/>
      <w:numFmt w:val="decimal"/>
      <w:suff w:val="nothing"/>
      <w:lvlText w:val="%1、"/>
      <w:lvlJc w:val="left"/>
      <w:pPr>
        <w:ind w:left="120" w:leftChars="0" w:firstLine="0" w:firstLineChars="0"/>
      </w:pPr>
    </w:lvl>
  </w:abstractNum>
  <w:abstractNum w:abstractNumId="10">
    <w:nsid w:val="367945AC"/>
    <w:multiLevelType w:val="singleLevel"/>
    <w:tmpl w:val="367945AC"/>
    <w:lvl w:ilvl="0" w:tentative="0">
      <w:start w:val="1"/>
      <w:numFmt w:val="decimal"/>
      <w:suff w:val="nothing"/>
      <w:lvlText w:val="（%1）"/>
      <w:lvlJc w:val="left"/>
      <w:pPr>
        <w:ind w:left="240" w:leftChars="0" w:firstLine="0" w:firstLineChars="0"/>
      </w:pPr>
    </w:lvl>
  </w:abstractNum>
  <w:abstractNum w:abstractNumId="11">
    <w:nsid w:val="64AE7391"/>
    <w:multiLevelType w:val="singleLevel"/>
    <w:tmpl w:val="64AE7391"/>
    <w:lvl w:ilvl="0" w:tentative="0">
      <w:start w:val="1"/>
      <w:numFmt w:val="decimal"/>
      <w:suff w:val="nothing"/>
      <w:lvlText w:val="（%1）"/>
      <w:lvlJc w:val="left"/>
      <w:pPr>
        <w:ind w:left="240" w:leftChars="0" w:firstLine="0" w:firstLineChars="0"/>
      </w:pPr>
    </w:lvl>
  </w:abstractNum>
  <w:abstractNum w:abstractNumId="12">
    <w:nsid w:val="79803B71"/>
    <w:multiLevelType w:val="singleLevel"/>
    <w:tmpl w:val="79803B71"/>
    <w:lvl w:ilvl="0" w:tentative="0">
      <w:start w:val="1"/>
      <w:numFmt w:val="chineseCounting"/>
      <w:suff w:val="nothing"/>
      <w:lvlText w:val="（%1）"/>
      <w:lvlJc w:val="left"/>
      <w:pPr>
        <w:ind w:left="120" w:leftChars="0" w:firstLine="0" w:firstLineChars="0"/>
      </w:pPr>
      <w:rPr>
        <w:rFonts w:hint="eastAsia"/>
      </w:rPr>
    </w:lvl>
  </w:abstractNum>
  <w:num w:numId="1">
    <w:abstractNumId w:val="1"/>
  </w:num>
  <w:num w:numId="2">
    <w:abstractNumId w:val="12"/>
  </w:num>
  <w:num w:numId="3">
    <w:abstractNumId w:val="3"/>
  </w:num>
  <w:num w:numId="4">
    <w:abstractNumId w:val="11"/>
  </w:num>
  <w:num w:numId="5">
    <w:abstractNumId w:val="8"/>
  </w:num>
  <w:num w:numId="6">
    <w:abstractNumId w:val="6"/>
  </w:num>
  <w:num w:numId="7">
    <w:abstractNumId w:val="2"/>
  </w:num>
  <w:num w:numId="8">
    <w:abstractNumId w:val="5"/>
  </w:num>
  <w:num w:numId="9">
    <w:abstractNumId w:val="9"/>
  </w:num>
  <w:num w:numId="10">
    <w:abstractNumId w:val="7"/>
  </w:num>
  <w:num w:numId="11">
    <w:abstractNumId w:val="4"/>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846FA"/>
    <w:rsid w:val="001B0218"/>
    <w:rsid w:val="0186409E"/>
    <w:rsid w:val="019C065C"/>
    <w:rsid w:val="01A94456"/>
    <w:rsid w:val="027C5CDE"/>
    <w:rsid w:val="040B5194"/>
    <w:rsid w:val="04B643D9"/>
    <w:rsid w:val="055536ED"/>
    <w:rsid w:val="061614F8"/>
    <w:rsid w:val="07AD5806"/>
    <w:rsid w:val="082A2832"/>
    <w:rsid w:val="088443CE"/>
    <w:rsid w:val="08D81512"/>
    <w:rsid w:val="094632FA"/>
    <w:rsid w:val="09BB750D"/>
    <w:rsid w:val="09E32ED9"/>
    <w:rsid w:val="0ADD5495"/>
    <w:rsid w:val="0AF401BB"/>
    <w:rsid w:val="0B3A350E"/>
    <w:rsid w:val="0BB868EA"/>
    <w:rsid w:val="0BEB3A63"/>
    <w:rsid w:val="0CDE762D"/>
    <w:rsid w:val="0ED77AEC"/>
    <w:rsid w:val="0FA004F2"/>
    <w:rsid w:val="10054C8B"/>
    <w:rsid w:val="1171431F"/>
    <w:rsid w:val="118D5ACA"/>
    <w:rsid w:val="120E2494"/>
    <w:rsid w:val="13042127"/>
    <w:rsid w:val="168A2F36"/>
    <w:rsid w:val="17647CBC"/>
    <w:rsid w:val="18923B0D"/>
    <w:rsid w:val="1959014F"/>
    <w:rsid w:val="19E97CCB"/>
    <w:rsid w:val="1AE22091"/>
    <w:rsid w:val="1B9506EA"/>
    <w:rsid w:val="1BD4628A"/>
    <w:rsid w:val="1C4E701C"/>
    <w:rsid w:val="1C577E0A"/>
    <w:rsid w:val="1D1D3763"/>
    <w:rsid w:val="1D9549D2"/>
    <w:rsid w:val="1E666D35"/>
    <w:rsid w:val="1EC46ED0"/>
    <w:rsid w:val="1F367169"/>
    <w:rsid w:val="1F4E4E14"/>
    <w:rsid w:val="20B1486F"/>
    <w:rsid w:val="225E661A"/>
    <w:rsid w:val="22657B39"/>
    <w:rsid w:val="231B3073"/>
    <w:rsid w:val="24733FD0"/>
    <w:rsid w:val="24D6667D"/>
    <w:rsid w:val="24E51A91"/>
    <w:rsid w:val="25632978"/>
    <w:rsid w:val="25CF6086"/>
    <w:rsid w:val="26261665"/>
    <w:rsid w:val="278C71A9"/>
    <w:rsid w:val="28C86CD5"/>
    <w:rsid w:val="28D12559"/>
    <w:rsid w:val="2935496B"/>
    <w:rsid w:val="2A897952"/>
    <w:rsid w:val="2B012985"/>
    <w:rsid w:val="2D9A7453"/>
    <w:rsid w:val="301C7CE6"/>
    <w:rsid w:val="30E97A23"/>
    <w:rsid w:val="31CA5430"/>
    <w:rsid w:val="327A5D59"/>
    <w:rsid w:val="331E2BBB"/>
    <w:rsid w:val="34605E64"/>
    <w:rsid w:val="34C917F6"/>
    <w:rsid w:val="35963A54"/>
    <w:rsid w:val="36496656"/>
    <w:rsid w:val="384B2EC1"/>
    <w:rsid w:val="39597006"/>
    <w:rsid w:val="3AE2261B"/>
    <w:rsid w:val="3CE70E16"/>
    <w:rsid w:val="3CF0597F"/>
    <w:rsid w:val="3DB83B16"/>
    <w:rsid w:val="3DDE10D6"/>
    <w:rsid w:val="3F612C40"/>
    <w:rsid w:val="3FA608FE"/>
    <w:rsid w:val="41CC7187"/>
    <w:rsid w:val="42110482"/>
    <w:rsid w:val="42920195"/>
    <w:rsid w:val="444A4AFB"/>
    <w:rsid w:val="446411A1"/>
    <w:rsid w:val="446B6A3E"/>
    <w:rsid w:val="448F317A"/>
    <w:rsid w:val="45E2453A"/>
    <w:rsid w:val="46106C1A"/>
    <w:rsid w:val="469D4846"/>
    <w:rsid w:val="474B7F35"/>
    <w:rsid w:val="47D378DA"/>
    <w:rsid w:val="487118D1"/>
    <w:rsid w:val="487B7A91"/>
    <w:rsid w:val="4AA846FA"/>
    <w:rsid w:val="4D9B48A8"/>
    <w:rsid w:val="4E4B6438"/>
    <w:rsid w:val="4EFF6830"/>
    <w:rsid w:val="50D91C80"/>
    <w:rsid w:val="50D94E83"/>
    <w:rsid w:val="51366221"/>
    <w:rsid w:val="51A7734F"/>
    <w:rsid w:val="51E94CA7"/>
    <w:rsid w:val="51EC1E97"/>
    <w:rsid w:val="522035DC"/>
    <w:rsid w:val="52656A09"/>
    <w:rsid w:val="526D4583"/>
    <w:rsid w:val="53A0111A"/>
    <w:rsid w:val="54A75F7C"/>
    <w:rsid w:val="5689797B"/>
    <w:rsid w:val="59EF109F"/>
    <w:rsid w:val="5BE962ED"/>
    <w:rsid w:val="5C9F594D"/>
    <w:rsid w:val="5D5D5C15"/>
    <w:rsid w:val="5FC13987"/>
    <w:rsid w:val="60D07177"/>
    <w:rsid w:val="60DC32D6"/>
    <w:rsid w:val="611F023A"/>
    <w:rsid w:val="614D7CFF"/>
    <w:rsid w:val="64EB2A72"/>
    <w:rsid w:val="66A90423"/>
    <w:rsid w:val="66DE664C"/>
    <w:rsid w:val="67D85622"/>
    <w:rsid w:val="69B978D6"/>
    <w:rsid w:val="6A924F60"/>
    <w:rsid w:val="6A960D49"/>
    <w:rsid w:val="6B642107"/>
    <w:rsid w:val="6CC3101F"/>
    <w:rsid w:val="6D6178EB"/>
    <w:rsid w:val="6DD6091E"/>
    <w:rsid w:val="6E6B79AB"/>
    <w:rsid w:val="6E790AC0"/>
    <w:rsid w:val="6EAC4CD8"/>
    <w:rsid w:val="6EF40089"/>
    <w:rsid w:val="702929B6"/>
    <w:rsid w:val="713965E0"/>
    <w:rsid w:val="715D3EE7"/>
    <w:rsid w:val="717D7A40"/>
    <w:rsid w:val="719071A5"/>
    <w:rsid w:val="72C87684"/>
    <w:rsid w:val="73CA01A0"/>
    <w:rsid w:val="73DD7A6B"/>
    <w:rsid w:val="73F939D7"/>
    <w:rsid w:val="748F0C7A"/>
    <w:rsid w:val="749173DB"/>
    <w:rsid w:val="74C3397B"/>
    <w:rsid w:val="759D135C"/>
    <w:rsid w:val="7634000F"/>
    <w:rsid w:val="78083901"/>
    <w:rsid w:val="78F552FD"/>
    <w:rsid w:val="7ABB5C4A"/>
    <w:rsid w:val="7B15555A"/>
    <w:rsid w:val="7C3371AE"/>
    <w:rsid w:val="7D301CFC"/>
    <w:rsid w:val="7D4454EA"/>
    <w:rsid w:val="7E7515D6"/>
    <w:rsid w:val="7EC96720"/>
    <w:rsid w:val="7F574F01"/>
    <w:rsid w:val="7F837528"/>
    <w:rsid w:val="7F9B2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2021-01-11T12:15:00Z</dcterms:created>
  <dc:creator> 知常乐 </dc:creator>
  <cp:lastModifiedBy>Administrator</cp:lastModifiedBy>
  <cp:lastPrinted>2021-01-13T01:29:00Z</cp:lastPrinted>
  <dcterms:modified xsi:type="dcterms:W3CDTF">2021-01-13T03:10:38Z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